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Georgia" w:cs="Georgia" w:eastAsia="Georgia" w:hAnsi="Georgia"/>
          <w:color w:val="7D6139"/>
          <w:spacing w:val="60"/>
          <w:sz w:val="20"/>
          <w:szCs w:val="20"/>
        </w:rPr>
        <w:t xml:space="preserve">WENTWORTH RIDGE</w:t>
      </w:r>
    </w:p>
    <w:p>
      <w:pPr>
        <w:spacing w:after="60"/>
      </w:pPr>
      <w:r>
        <w:rPr>
          <w:rFonts w:ascii="Georgia" w:cs="Georgia" w:eastAsia="Georgia" w:hAnsi="Georgia"/>
          <w:color w:val="0E1621"/>
          <w:sz w:val="52"/>
          <w:szCs w:val="52"/>
        </w:rPr>
        <w:t xml:space="preserve">Weekly driver statement</w:t>
      </w:r>
    </w:p>
    <w:p>
      <w:pPr>
        <w:spacing w:after="120"/>
      </w:pPr>
      <w:r>
        <w:rPr>
          <w:rFonts w:ascii="Calibri" w:cs="Calibri" w:eastAsia="Calibri" w:hAnsi="Calibri"/>
          <w:color w:val="6B675E"/>
          <w:sz w:val="21"/>
          <w:szCs w:val="21"/>
        </w:rPr>
        <w:t xml:space="preserve">A one-page weekly summary agreed between operator and driver before invoicing. Agreeing the numbers weekly prevents month-end disputes.</w:t>
      </w:r>
    </w:p>
    <w:p>
      <w:pPr>
        <w:pBdr>
          <w:bottom w:val="single" w:color="9C7C4A" w:sz="12"/>
        </w:pBdr>
        <w:spacing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Driver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Week ending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Route(s) worked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Days and volumes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838"/>
        <w:gridCol w:w="1400"/>
      </w:tblGrid>
      <w:tr>
        <w:trPr>
          <w:tblHeader/>
        </w:trPr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Day</w:t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Route</w:t>
            </w:r>
          </w:p>
        </w:tc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Stops</w:t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Parcels delivered</w:t>
            </w:r>
          </w:p>
        </w:tc>
        <w:tc>
          <w:tcPr>
            <w:tcW w:type="dxa" w:w="1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Failed / returned</w:t>
            </w:r>
          </w:p>
        </w:tc>
        <w:tc>
          <w:tcPr>
            <w:tcW w:type="dxa" w:w="1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Rate (£)</w:t>
            </w:r>
          </w:p>
        </w:tc>
      </w:tr>
      <w:tr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3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8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Adjustments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38"/>
        <w:gridCol w:w="2100"/>
        <w:gridCol w:w="2100"/>
      </w:tblGrid>
      <w:tr>
        <w:trPr>
          <w:tblHeader/>
        </w:trPr>
        <w:tc>
          <w:tcPr>
            <w:tcW w:type="dxa" w:w="54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Description</w:t>
            </w:r>
          </w:p>
        </w:tc>
        <w:tc>
          <w:tcPr>
            <w:tcW w:type="dxa" w:w="2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Amount (£)</w:t>
            </w:r>
          </w:p>
        </w:tc>
        <w:tc>
          <w:tcPr>
            <w:tcW w:type="dxa" w:w="2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Added / deducted</w:t>
            </w:r>
          </w:p>
        </w:tc>
      </w:tr>
      <w:tr>
        <w:tc>
          <w:tcPr>
            <w:tcW w:type="dxa" w:w="54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4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4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54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Adjustments include fuel contributions, van rental, PCNs passed on under the agreed policy, bonuses and corrections from previous weeks. Every deduction should trace back to something agreed in writing.</w:t>
      </w:r>
    </w:p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Totals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Gross for the week (£)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Total adjustments (£)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Amount to invoice (£)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Agreement</w:t>
      </w:r>
    </w:p>
    <w:p>
      <w:pPr>
        <w:spacing w:after="100"/>
      </w:pPr>
      <w:r>
        <w:rPr>
          <w:rFonts w:ascii="Calibri" w:cs="Calibri" w:eastAsia="Calibri" w:hAnsi="Calibri"/>
          <w:i w:val="false"/>
          <w:iCs w:val="false"/>
          <w:color w:val="333333"/>
          <w:sz w:val="21"/>
          <w:szCs w:val="21"/>
        </w:rPr>
        <w:t xml:space="preserve">Both parties confirm the figures above as the basis for this week's invoice.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00"/>
              <w:right w:type="dxa" w:w="400"/>
            </w:tcMar>
          </w:tcPr>
          <w:p>
            <w:pPr>
              <w:pBdr>
                <w:top w:val="single" w:color="6B675E" w:sz="6"/>
              </w:pBdr>
              <w:spacing w:after="60" w:before="500"/>
            </w:pPr>
            <w:r>
              <w:rPr>
                <w:rFonts w:ascii="Calibri" w:cs="Calibri" w:eastAsia="Calibri" w:hAnsi="Calibri"/>
                <w:color w:val="6B675E"/>
                <w:sz w:val="19"/>
                <w:szCs w:val="19"/>
              </w:rPr>
              <w:t xml:space="preserve">Driver</w:t>
            </w:r>
          </w:p>
          <w:p>
            <w:r>
              <w:rPr>
                <w:rFonts w:ascii="Calibri" w:cs="Calibri" w:eastAsia="Calibri" w:hAnsi="Calibri"/>
                <w:color w:val="A49F93"/>
                <w:sz w:val="17"/>
                <w:szCs w:val="17"/>
              </w:rPr>
              <w:t xml:space="preserve">Name, signature and date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100"/>
              <w:right w:type="dxa" w:w="400"/>
            </w:tcMar>
          </w:tcPr>
          <w:p>
            <w:pPr>
              <w:pBdr>
                <w:top w:val="single" w:color="6B675E" w:sz="6"/>
              </w:pBdr>
              <w:spacing w:after="60" w:before="500"/>
            </w:pPr>
            <w:r>
              <w:rPr>
                <w:rFonts w:ascii="Calibri" w:cs="Calibri" w:eastAsia="Calibri" w:hAnsi="Calibri"/>
                <w:color w:val="6B675E"/>
                <w:sz w:val="19"/>
                <w:szCs w:val="19"/>
              </w:rPr>
              <w:t xml:space="preserve">Operator</w:t>
            </w:r>
          </w:p>
          <w:p>
            <w:r>
              <w:rPr>
                <w:rFonts w:ascii="Calibri" w:cs="Calibri" w:eastAsia="Calibri" w:hAnsi="Calibri"/>
                <w:color w:val="A49F93"/>
                <w:sz w:val="17"/>
                <w:szCs w:val="17"/>
              </w:rPr>
              <w:t xml:space="preserve">Name, signature and date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5CC" w:sz="4"/>
      </w:pBdr>
      <w:spacing w:after="40" w:before="60"/>
    </w:pPr>
    <w:r>
      <w:rPr>
        <w:rFonts w:ascii="Calibri" w:cs="Calibri" w:eastAsia="Calibri" w:hAnsi="Calibri"/>
        <w:color w:val="6B675E"/>
        <w:sz w:val="15"/>
        <w:szCs w:val="15"/>
      </w:rPr>
      <w:t xml:space="preserve">Operational template provided by Wentworth Ridge Ltd (wentworthridge.co.uk) as a working aid. It is not legal, tax or professional advice; adapt it to your own operation and take advice where the situation requires it.</w:t>
    </w:r>
  </w:p>
  <w:p>
    <w:pPr>
      <w:jc w:val="right"/>
    </w:pPr>
    <w:r>
      <w:rPr>
        <w:rFonts w:ascii="Calibri" w:cs="Calibri" w:eastAsia="Calibri" w:hAnsi="Calibri"/>
        <w:color w:val="6B675E"/>
        <w:sz w:val="15"/>
        <w:szCs w:val="15"/>
      </w:rPr>
      <w:t xml:space="preserve">Page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75E"/>
        <w:sz w:val="15"/>
        <w:szCs w:val="15"/>
      </w:rPr>
      <w:t xml:space="preserve"> of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Wentworth Ridge: Weekly driver statement</dc:title>
  <dc:creator>Wentworth Ridge Ltd</dc:creator>
  <dc:description>A one-page weekly summary agreed between operator and driver before invoicing. Agreeing the numbers weekly prevents month-end disputes.</dc:description>
  <cp:lastModifiedBy>Un-named</cp:lastModifiedBy>
  <cp:revision>1</cp:revision>
  <dcterms:created xsi:type="dcterms:W3CDTF">2026-07-14T13:29:33.441Z</dcterms:created>
  <dcterms:modified xsi:type="dcterms:W3CDTF">2026-07-14T13:29:33.441Z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