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6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Driver onboarding checklist</w:t>
      </w:r>
    </w:p>
    <w:p>
      <w:pPr>
        <w:spacing w:after="120"/>
      </w:pPr>
      <w:r>
        <w:rPr>
          <w:rFonts w:ascii="Calibri" w:cs="Calibri" w:eastAsia="Calibri" w:hAnsi="Calibri"/>
          <w:color w:val="6B675E"/>
          <w:sz w:val="21"/>
          <w:szCs w:val="21"/>
        </w:rPr>
        <w:t xml:space="preserve">A practical starting checklist for onboarding, to be adapted to your contractual model, operator licence, insurance arrangements, employment status and client requirements.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Driver name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Start date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Engaged as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Depot / route area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Onboarded by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Before day one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Right-to-work evidence seen and recorded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(original document or share code check)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Driving licence checked via the DVLA online service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(record the check date and any points)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Driver is 18 or over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References or work history verified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Engagement paperwork signed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(contract for services or employment contract, as applicable)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Insurance position confirmed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(who insures the vehicle and the goods, in writing)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Payment details and invoicing arrangement confirmed</w:t>
      </w:r>
    </w:p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Day one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Vehicle walk-round and handover form completed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(use the vehicle handover template)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Scanner / app login issued and tested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Route briefing given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(known access issues, safe places policy, customer notes)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Incident and escalation process explained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(who to call, in what order)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PCN and penalty policy explained</w:t>
      </w: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  (who pays what, and how appeals are handled)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Emergency contact recorded</w:t>
      </w:r>
    </w:p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End of week one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Debrief held: failed deliveries, access problems, route notes captured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Outstanding paperwork chased and closed</w:t>
      </w:r>
    </w:p>
    <w:p>
      <w:pPr>
        <w:spacing w:after="120"/>
        <w:ind w:left="120"/>
      </w:pPr>
      <w:r>
        <w:rPr>
          <w:rFonts w:ascii="Calibri" w:cs="Calibri" w:eastAsia="Calibri" w:hAnsi="Calibri"/>
          <w:color w:val="7D6139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Any concerns recorded and shared with the driver</w:t>
      </w:r>
    </w:p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Sign-off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Driver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Onboarded by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Driver onboarding checklist</dc:title>
  <dc:creator>Wentworth Ridge Ltd</dc:creator>
  <dc:description>A practical starting checklist for onboarding, to be adapted to your contractual model, operator licence, insurance arrangements, employment status and client requirements.</dc:description>
  <cp:lastModifiedBy>Un-named</cp:lastModifiedBy>
  <cp:revision>1</cp:revision>
  <dcterms:created xsi:type="dcterms:W3CDTF">2026-07-14T13:29:33.395Z</dcterms:created>
  <dcterms:modified xsi:type="dcterms:W3CDTF">2026-07-14T13:29:33.412Z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