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Georgia" w:cs="Georgia" w:eastAsia="Georgia" w:hAnsi="Georgia"/>
          <w:color w:val="7D6139"/>
          <w:spacing w:val="60"/>
          <w:sz w:val="20"/>
          <w:szCs w:val="20"/>
        </w:rPr>
        <w:t xml:space="preserve">WENTWORTH RIDGE</w:t>
      </w:r>
    </w:p>
    <w:p>
      <w:pPr>
        <w:spacing w:after="60"/>
      </w:pPr>
      <w:r>
        <w:rPr>
          <w:rFonts w:ascii="Georgia" w:cs="Georgia" w:eastAsia="Georgia" w:hAnsi="Georgia"/>
          <w:color w:val="0E1621"/>
          <w:sz w:val="52"/>
          <w:szCs w:val="52"/>
        </w:rPr>
        <w:t xml:space="preserve">Depot escalation record</w:t>
      </w:r>
    </w:p>
    <w:p>
      <w:pPr>
        <w:spacing w:after="120"/>
      </w:pPr>
      <w:r>
        <w:rPr>
          <w:rFonts w:ascii="Calibri" w:cs="Calibri" w:eastAsia="Calibri" w:hAnsi="Calibri"/>
          <w:color w:val="6B675E"/>
          <w:sz w:val="21"/>
          <w:szCs w:val="21"/>
        </w:rPr>
        <w:t xml:space="preserve">For problems raised with a depot, client or network that were not resolved on the day. A dated written trail changes how seriously an issue is treated.</w:t>
      </w:r>
    </w:p>
    <w:p>
      <w:pPr>
        <w:pBdr>
          <w:bottom w:val="single" w:color="9C7C4A" w:sz="12"/>
        </w:pBdr>
        <w:spacing w:after="2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738"/>
      </w:tblGrid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Raised by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Date raised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Depot / client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Raised with (name and role)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How raised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The issue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738"/>
      </w:tblGrid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What is the problem?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What is it costing? (time, money, service, safety)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What resolution are you asking for?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Deadline given for a response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Escalation trail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200"/>
        <w:gridCol w:w="3838"/>
        <w:gridCol w:w="2400"/>
      </w:tblGrid>
      <w:tr>
        <w:trPr>
          <w:tblHeader/>
        </w:trPr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Date</w:t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Contact / method</w:t>
            </w:r>
          </w:p>
        </w:tc>
        <w:tc>
          <w:tcPr>
            <w:tcW w:type="dxa" w:w="3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What was said or agreed</w:t>
            </w:r>
          </w:p>
        </w:tc>
        <w:tc>
          <w:tcPr>
            <w:tcW w:type="dxa" w:w="2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Next step</w:t>
            </w:r>
          </w:p>
        </w:tc>
      </w:tr>
      <w:tr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Resolution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738"/>
      </w:tblGrid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Outcome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Date closed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Lessons for the operation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5CC" w:sz="4"/>
      </w:pBdr>
      <w:spacing w:after="40" w:before="60"/>
    </w:pPr>
    <w:r>
      <w:rPr>
        <w:rFonts w:ascii="Calibri" w:cs="Calibri" w:eastAsia="Calibri" w:hAnsi="Calibri"/>
        <w:color w:val="6B675E"/>
        <w:sz w:val="15"/>
        <w:szCs w:val="15"/>
      </w:rPr>
      <w:t xml:space="preserve">Operational template provided by Wentworth Ridge Ltd (wentworthridge.co.uk) as a working aid. It is not legal, tax or professional advice; adapt it to your own operation and take advice where the situation requires it.</w:t>
    </w:r>
  </w:p>
  <w:p>
    <w:pPr>
      <w:jc w:val="right"/>
    </w:pPr>
    <w:r>
      <w:rPr>
        <w:rFonts w:ascii="Calibri" w:cs="Calibri" w:eastAsia="Calibri" w:hAnsi="Calibri"/>
        <w:color w:val="6B675E"/>
        <w:sz w:val="15"/>
        <w:szCs w:val="15"/>
      </w:rPr>
      <w:t xml:space="preserve">Page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675E"/>
        <w:sz w:val="15"/>
        <w:szCs w:val="15"/>
      </w:rPr>
      <w:t xml:space="preserve"> of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3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Wentworth Ridge: Depot escalation record</dc:title>
  <dc:creator>Wentworth Ridge Ltd</dc:creator>
  <dc:description>For problems raised with a depot, client or network that were not resolved on the day. A dated written trail changes how seriously an issue is treated.</dc:description>
  <cp:lastModifiedBy>Un-named</cp:lastModifiedBy>
  <cp:revision>1</cp:revision>
  <dcterms:created xsi:type="dcterms:W3CDTF">2026-07-14T13:29:33.449Z</dcterms:created>
  <dcterms:modified xsi:type="dcterms:W3CDTF">2026-07-14T13:29:33.449Z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